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8A" w:rsidRPr="0092708A" w:rsidRDefault="00933BC5" w:rsidP="0092708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1 July </w:t>
      </w:r>
      <w:r w:rsidR="0092708A" w:rsidRPr="0092708A">
        <w:rPr>
          <w:b/>
          <w:i/>
          <w:sz w:val="48"/>
          <w:szCs w:val="48"/>
        </w:rPr>
        <w:t xml:space="preserve">2015 </w:t>
      </w:r>
      <w:r w:rsidR="0092708A" w:rsidRPr="0092708A">
        <w:rPr>
          <w:rFonts w:ascii="Impact" w:hAnsi="Impact"/>
          <w:b/>
          <w:i/>
          <w:sz w:val="48"/>
          <w:szCs w:val="48"/>
        </w:rPr>
        <w:t>DRAFT</w:t>
      </w:r>
    </w:p>
    <w:p w:rsidR="00C11A53" w:rsidRDefault="00C11A53" w:rsidP="0092708A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“Alaska’s Fiscal and Economic Future:   Values, Options, and Politics”</w:t>
      </w:r>
    </w:p>
    <w:p w:rsidR="00C11A53" w:rsidRDefault="00C11A53" w:rsidP="00C11A53">
      <w:pPr>
        <w:jc w:val="center"/>
        <w:rPr>
          <w:b/>
          <w:sz w:val="32"/>
          <w:szCs w:val="32"/>
        </w:rPr>
      </w:pPr>
      <w:r w:rsidRPr="000B6DFC">
        <w:rPr>
          <w:b/>
          <w:sz w:val="32"/>
          <w:szCs w:val="32"/>
        </w:rPr>
        <w:t>Cliff Groh</w:t>
      </w:r>
    </w:p>
    <w:p w:rsidR="003F2EE3" w:rsidRDefault="003F2EE3" w:rsidP="003F2EE3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Alaska’s Fiscal and Economic Problems</w:t>
      </w:r>
    </w:p>
    <w:p w:rsidR="003F2EE3" w:rsidRDefault="003F2EE3" w:rsidP="003F2EE3">
      <w:pPr>
        <w:pStyle w:val="ListParagraph"/>
        <w:ind w:left="1080"/>
        <w:rPr>
          <w:b/>
          <w:sz w:val="32"/>
          <w:szCs w:val="32"/>
        </w:rPr>
      </w:pPr>
    </w:p>
    <w:p w:rsidR="00C11A53" w:rsidRDefault="00C11A53" w:rsidP="003F2EE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At anything like the current levels of oil prices and Alaska oil production, the State of Alaska is in a deep fiscal hole</w:t>
      </w:r>
    </w:p>
    <w:p w:rsidR="00A9482D" w:rsidRDefault="00A9482D" w:rsidP="00A9482D">
      <w:pPr>
        <w:pStyle w:val="ListParagrap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A9482D" w:rsidRPr="00A9482D" w:rsidRDefault="00A9482D" w:rsidP="00A9482D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9482D">
        <w:rPr>
          <w:rFonts w:ascii="Arial" w:hAnsi="Arial" w:cs="Arial"/>
          <w:b/>
          <w:sz w:val="28"/>
          <w:szCs w:val="28"/>
        </w:rPr>
        <w:t xml:space="preserve">The budget in the fiscal year </w:t>
      </w:r>
      <w:r w:rsidR="00933BC5">
        <w:rPr>
          <w:rFonts w:ascii="Arial" w:hAnsi="Arial" w:cs="Arial"/>
          <w:b/>
          <w:sz w:val="28"/>
          <w:szCs w:val="28"/>
        </w:rPr>
        <w:t xml:space="preserve">just past </w:t>
      </w:r>
      <w:r w:rsidRPr="00A9482D">
        <w:rPr>
          <w:rFonts w:ascii="Arial" w:hAnsi="Arial" w:cs="Arial"/>
          <w:b/>
          <w:sz w:val="28"/>
          <w:szCs w:val="28"/>
        </w:rPr>
        <w:t>(which end</w:t>
      </w:r>
      <w:r w:rsidR="00933BC5">
        <w:rPr>
          <w:rFonts w:ascii="Arial" w:hAnsi="Arial" w:cs="Arial"/>
          <w:b/>
          <w:sz w:val="28"/>
          <w:szCs w:val="28"/>
        </w:rPr>
        <w:t>ed</w:t>
      </w:r>
      <w:r w:rsidRPr="00A9482D">
        <w:rPr>
          <w:rFonts w:ascii="Arial" w:hAnsi="Arial" w:cs="Arial"/>
          <w:b/>
          <w:sz w:val="28"/>
          <w:szCs w:val="28"/>
        </w:rPr>
        <w:t xml:space="preserve"> June 30, 2015) was built to balance at an oil price of $117 per barrel, and oil prices averaged less than $73 per barrel during </w:t>
      </w:r>
      <w:r w:rsidR="00933BC5">
        <w:rPr>
          <w:rFonts w:ascii="Arial" w:hAnsi="Arial" w:cs="Arial"/>
          <w:b/>
          <w:sz w:val="28"/>
          <w:szCs w:val="28"/>
        </w:rPr>
        <w:t xml:space="preserve">that </w:t>
      </w:r>
      <w:r w:rsidRPr="00A9482D">
        <w:rPr>
          <w:rFonts w:ascii="Arial" w:hAnsi="Arial" w:cs="Arial"/>
          <w:b/>
          <w:sz w:val="28"/>
          <w:szCs w:val="28"/>
        </w:rPr>
        <w:t>fiscal year</w:t>
      </w:r>
    </w:p>
    <w:p w:rsidR="003F2EE3" w:rsidRDefault="003F2EE3" w:rsidP="003F2EE3">
      <w:pPr>
        <w:pStyle w:val="ListParagraph"/>
        <w:ind w:left="108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1F4626" w:rsidRPr="001C6031" w:rsidRDefault="00C11A53" w:rsidP="001C603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The State of Alaska’s fiscal hole is likely to be </w:t>
      </w:r>
      <w:r w:rsidR="00AF3AE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$3 billion </w:t>
      </w:r>
      <w:r w:rsidR="001C603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for FY 201</w:t>
      </w:r>
      <w:r w:rsidR="00933BC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6</w:t>
      </w:r>
      <w:r w:rsidR="001C603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(the </w:t>
      </w:r>
      <w:r w:rsidR="00AF3AE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fiscal year starting July 1, 201</w:t>
      </w:r>
      <w:r w:rsidR="00933BC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5</w:t>
      </w:r>
      <w:r w:rsidR="001C603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) </w:t>
      </w:r>
      <w:r w:rsidR="00AF3AE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and </w:t>
      </w:r>
      <w:r w:rsidR="001C603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similar amounts per year </w:t>
      </w:r>
      <w:r w:rsidR="00AF3AE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going forward</w:t>
      </w:r>
      <w:r w:rsidR="00D87FF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   T</w:t>
      </w:r>
      <w:r w:rsidR="008B38C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he State of Alaska’s </w:t>
      </w:r>
      <w:r w:rsidR="00AF3AE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readily</w:t>
      </w:r>
      <w:r w:rsidR="003F2EE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accessible reserves will not last long at the burn rate implied by no change of current levels of revenues and spending</w:t>
      </w:r>
      <w:r w:rsidR="00D87FF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   B</w:t>
      </w:r>
      <w:r w:rsidR="006709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alances projected for June 30, 2016</w:t>
      </w:r>
      <w:r w:rsidR="00EB0DB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by Alaska Legislative Finance Division, June of 2015</w:t>
      </w:r>
      <w:r w:rsidR="006709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:   $</w:t>
      </w:r>
      <w:r w:rsidR="001F1F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9.2</w:t>
      </w:r>
      <w:r w:rsidR="006709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billion in reserves outside the Permanent Fund principal and Permanent Fund Earnings Reserve; $7.5 billion in Permanent Fund Earnings Reserve</w:t>
      </w:r>
      <w:r w:rsidR="00D87FF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r w:rsidR="006709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1F4626" w:rsidRPr="003F2EE3" w:rsidRDefault="001F4626" w:rsidP="001F4626">
      <w:pPr>
        <w:pStyle w:val="ListParagraph"/>
        <w:ind w:left="216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343B40" w:rsidRPr="00D54706" w:rsidRDefault="003F2EE3" w:rsidP="00D5470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The cutbacks implied in state government spending and in the oilpatch by levels of oil prices and Alaska oil production </w:t>
      </w:r>
      <w:r w:rsidR="004F33BB"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anything like those of today </w:t>
      </w:r>
      <w:r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seem likely to</w:t>
      </w:r>
      <w:r w:rsidR="004F33BB"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produce</w:t>
      </w:r>
      <w:r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 smaller population and economy in Alaska in the future</w:t>
      </w:r>
      <w:r w:rsidR="001C603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(as well as lower real estate values)</w:t>
      </w:r>
      <w:r w:rsidR="001F1F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.   These outcomes appear </w:t>
      </w:r>
      <w:r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particularly </w:t>
      </w:r>
      <w:r w:rsidR="001F1F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likely </w:t>
      </w:r>
      <w:r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when combined with downward pressures on military and federal civilian </w:t>
      </w:r>
      <w:r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>employment in Alaska as well as the Alaska seafood industry</w:t>
      </w:r>
      <w:r w:rsidR="001F1F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.    An analysis by ISER projects </w:t>
      </w:r>
      <w:r w:rsidR="00D5470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that a $1 billion cut in the Alaska </w:t>
      </w:r>
      <w:r w:rsidR="00343B4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budget </w:t>
      </w:r>
      <w:r w:rsidR="00D5470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produces total job losses in the Alaska economy of 9,000</w:t>
      </w:r>
      <w:r w:rsidR="001F1F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; this analysis would imply that the budget </w:t>
      </w:r>
      <w:r w:rsidR="00343B4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cuts enacted in legislative session</w:t>
      </w:r>
      <w:r w:rsidR="00D5470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in 2015 for FY16</w:t>
      </w:r>
      <w:r w:rsidR="00343B4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, for example, </w:t>
      </w:r>
      <w:r w:rsidR="001F1F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would </w:t>
      </w:r>
      <w:r w:rsidR="00343B4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cause more than </w:t>
      </w:r>
      <w:r w:rsidR="00D5470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5</w:t>
      </w:r>
      <w:r w:rsidR="00343B4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,000 jobs</w:t>
      </w:r>
      <w:r w:rsidRPr="001F462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43B4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to be lost in Alaska economy </w:t>
      </w:r>
      <w:r w:rsidR="001F1F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through </w:t>
      </w:r>
      <w:r w:rsidR="00343B4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layoffs plus </w:t>
      </w:r>
      <w:r w:rsidR="001F1F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the multiplier effect.</w:t>
      </w:r>
    </w:p>
    <w:p w:rsidR="00343B40" w:rsidRPr="00C11A53" w:rsidRDefault="00343B40" w:rsidP="003F2EE3">
      <w:pPr>
        <w:pStyle w:val="ListParagraph"/>
        <w:ind w:left="108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C11A53" w:rsidRDefault="00C11A53" w:rsidP="000E470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0E470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Questions about </w:t>
      </w:r>
      <w:r w:rsidR="00BE51A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Values and I</w:t>
      </w:r>
      <w:r w:rsidRPr="000E470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dentity</w:t>
      </w:r>
    </w:p>
    <w:p w:rsidR="004F33BB" w:rsidRDefault="004F33BB" w:rsidP="004F33BB">
      <w:pPr>
        <w:pStyle w:val="ListParagraph"/>
        <w:ind w:left="108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 xml:space="preserve">How much government do Alaskans want to have as we start paying for it? 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What kind of government do Alaskans want to have as we start paying for it?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Who should help pay for the government Alaskans want to have and pay for?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What is the Permanent Fund for?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How long do you intend to live in Alaska?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For any potential option for addressing the fiscal challenge, what do you think the alternatives are?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How do our options change over time?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What matters more:  what you love and want, or what you hate and fear?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P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If pain is coming, who should bear the pain?  By what principles should the pain be allocated?</w:t>
      </w:r>
    </w:p>
    <w:p w:rsidR="004F33BB" w:rsidRPr="004F33BB" w:rsidRDefault="004F33BB" w:rsidP="004F33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3BB" w:rsidRDefault="004F33BB" w:rsidP="004F33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3BB">
        <w:rPr>
          <w:rFonts w:ascii="Arial" w:hAnsi="Arial" w:cs="Arial"/>
          <w:b/>
          <w:sz w:val="28"/>
          <w:szCs w:val="28"/>
        </w:rPr>
        <w:t>Is the political clock synchronized with the revenues/reserves clock?</w:t>
      </w:r>
    </w:p>
    <w:p w:rsidR="00BA61BA" w:rsidRPr="00BA61BA" w:rsidRDefault="00BA61BA" w:rsidP="00BA61B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D7912" w:rsidRDefault="006D7912" w:rsidP="006D791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Explanation of Alaska’s System—</w:t>
      </w:r>
      <w:r w:rsidR="00AA3174">
        <w:rPr>
          <w:rFonts w:ascii="Arial" w:hAnsi="Arial" w:cs="Arial"/>
          <w:b/>
          <w:sz w:val="28"/>
          <w:szCs w:val="28"/>
        </w:rPr>
        <w:t xml:space="preserve">Display of </w:t>
      </w:r>
      <w:r>
        <w:rPr>
          <w:rFonts w:ascii="Arial" w:hAnsi="Arial" w:cs="Arial"/>
          <w:b/>
          <w:sz w:val="28"/>
          <w:szCs w:val="28"/>
        </w:rPr>
        <w:t xml:space="preserve">the Groh Flow </w:t>
      </w:r>
      <w:r w:rsidR="00AA3174">
        <w:rPr>
          <w:rFonts w:ascii="Arial" w:hAnsi="Arial" w:cs="Arial"/>
          <w:b/>
          <w:sz w:val="28"/>
          <w:szCs w:val="28"/>
        </w:rPr>
        <w:t xml:space="preserve">(Graphic </w:t>
      </w:r>
      <w:r>
        <w:rPr>
          <w:rFonts w:ascii="Arial" w:hAnsi="Arial" w:cs="Arial"/>
          <w:b/>
          <w:sz w:val="28"/>
          <w:szCs w:val="28"/>
        </w:rPr>
        <w:t>Showing Sources and Relationships of General Fund, Permanent Fund, Permanent Fund Dividend, and Constitutional Budget Reserve</w:t>
      </w:r>
      <w:r w:rsidR="00AA3174">
        <w:rPr>
          <w:rFonts w:ascii="Arial" w:hAnsi="Arial" w:cs="Arial"/>
          <w:b/>
          <w:sz w:val="28"/>
          <w:szCs w:val="28"/>
        </w:rPr>
        <w:t>)</w:t>
      </w:r>
    </w:p>
    <w:p w:rsidR="00343B40" w:rsidRPr="00BE51A7" w:rsidRDefault="006D7912" w:rsidP="006D791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D7912" w:rsidRDefault="00BE51A7" w:rsidP="00BE51A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Options</w:t>
      </w:r>
    </w:p>
    <w:p w:rsidR="006D7912" w:rsidRPr="006D7912" w:rsidRDefault="006D7912" w:rsidP="006D791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Default="00BE51A7" w:rsidP="006D791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C2448">
        <w:rPr>
          <w:rFonts w:ascii="Arial" w:hAnsi="Arial" w:cs="Arial"/>
          <w:b/>
          <w:sz w:val="28"/>
          <w:szCs w:val="28"/>
        </w:rPr>
        <w:t>Uncertain and/or smaller options</w:t>
      </w:r>
      <w:r w:rsidR="006D7912">
        <w:rPr>
          <w:rFonts w:ascii="Arial" w:hAnsi="Arial" w:cs="Arial"/>
          <w:b/>
          <w:sz w:val="28"/>
          <w:szCs w:val="28"/>
        </w:rPr>
        <w:t xml:space="preserve"> additional oil discoveries, lottery, marijuana tax, and school head tax</w:t>
      </w:r>
    </w:p>
    <w:p w:rsidR="00AA3174" w:rsidRDefault="00AA3174" w:rsidP="00AA3174">
      <w:pPr>
        <w:pStyle w:val="ListParagraph"/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</w:p>
    <w:p w:rsidR="00AA3174" w:rsidRDefault="00843F39" w:rsidP="00843F3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AKLNG (project to commercialize and export from Alaska natural gas on the North Slope with a gas treatment plant, natural gas pipeline, and a liquefied natural gas pipeline) </w:t>
      </w:r>
    </w:p>
    <w:p w:rsidR="00843F39" w:rsidRDefault="00843F39" w:rsidP="00843F3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Cost is $45-65 billion and earliest completion date is 2025 (according to Alaska Gasline Development Corporation), and absent a natural gas reserves tax, that is when under current law significant revenues would come to the State of Alaska</w:t>
      </w:r>
    </w:p>
    <w:p w:rsidR="00843F39" w:rsidRDefault="00843F39" w:rsidP="00843F3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revenues coming to the State of Alaska from AKLNG project would be less than that from </w:t>
      </w:r>
      <w:r w:rsidR="00DC2448">
        <w:rPr>
          <w:rFonts w:ascii="Arial" w:hAnsi="Arial" w:cs="Arial"/>
          <w:b/>
          <w:sz w:val="28"/>
          <w:szCs w:val="28"/>
        </w:rPr>
        <w:t>oil development (“Alaskans should not expect oil wealth from LNG”—Federal Coordinator for Alaska Gas Line Projects)</w:t>
      </w:r>
    </w:p>
    <w:p w:rsidR="00DC2448" w:rsidRDefault="00DC2448" w:rsidP="00DC2448">
      <w:pPr>
        <w:pStyle w:val="ListParagraph"/>
        <w:spacing w:after="0" w:line="240" w:lineRule="auto"/>
        <w:ind w:left="2520"/>
        <w:rPr>
          <w:rFonts w:ascii="Arial" w:hAnsi="Arial" w:cs="Arial"/>
          <w:b/>
          <w:sz w:val="28"/>
          <w:szCs w:val="28"/>
        </w:rPr>
      </w:pPr>
    </w:p>
    <w:p w:rsidR="00DC2448" w:rsidRDefault="00DC2448" w:rsidP="00DC244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oil discoveries</w:t>
      </w:r>
    </w:p>
    <w:p w:rsidR="0059407B" w:rsidRDefault="0059407B" w:rsidP="0059407B">
      <w:pPr>
        <w:pStyle w:val="ListParagraph"/>
        <w:spacing w:after="0" w:line="240" w:lineRule="auto"/>
        <w:ind w:left="1800"/>
        <w:rPr>
          <w:rFonts w:ascii="Arial" w:hAnsi="Arial" w:cs="Arial"/>
          <w:b/>
          <w:sz w:val="28"/>
          <w:szCs w:val="28"/>
        </w:rPr>
      </w:pPr>
    </w:p>
    <w:p w:rsidR="0059407B" w:rsidRDefault="0059407B" w:rsidP="0059407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Lottery—Alaska Department of Revenue estimates revenue gain of $15 million annually</w:t>
      </w:r>
    </w:p>
    <w:p w:rsidR="0059407B" w:rsidRPr="0059407B" w:rsidRDefault="0059407B" w:rsidP="0059407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9407B" w:rsidRDefault="0059407B" w:rsidP="0059407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Marijuana tax—Marijuana Policy Project estimates less than $25 million in 2020</w:t>
      </w:r>
    </w:p>
    <w:p w:rsidR="0059407B" w:rsidRPr="0059407B" w:rsidRDefault="0059407B" w:rsidP="0059407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9407B" w:rsidRDefault="0059407B" w:rsidP="0059407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Head tax (payroll tax similar to Alaska’s previous school tax)—Alaska Department of Revenue estimates that a payroll tax of $100 to $500 per worker </w:t>
      </w:r>
      <w:r w:rsidR="00BA61BA">
        <w:rPr>
          <w:rFonts w:ascii="Arial" w:hAnsi="Arial" w:cs="Arial"/>
          <w:b/>
          <w:sz w:val="28"/>
          <w:szCs w:val="28"/>
        </w:rPr>
        <w:t>scaled to the worker’s income and taken from the worker’s first two paychecks would raise about $100 million per year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E51A7" w:rsidRDefault="00BE51A7" w:rsidP="00BE51A7">
      <w:pPr>
        <w:pStyle w:val="ListParagraph"/>
        <w:spacing w:after="0" w:line="240" w:lineRule="auto"/>
        <w:ind w:left="1080"/>
        <w:rPr>
          <w:rFonts w:ascii="Arial" w:hAnsi="Arial" w:cs="Arial"/>
          <w:b/>
          <w:sz w:val="28"/>
          <w:szCs w:val="28"/>
        </w:rPr>
      </w:pPr>
    </w:p>
    <w:p w:rsidR="00BA61BA" w:rsidRDefault="00BA61BA" w:rsidP="00BA61B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BA61BA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Larger and more available options </w:t>
      </w:r>
    </w:p>
    <w:p w:rsidR="00BA61BA" w:rsidRDefault="00BA61BA" w:rsidP="00BA61BA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E51A7" w:rsidRPr="00BA61BA" w:rsidRDefault="00BE51A7" w:rsidP="00BA61B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BA61BA">
        <w:rPr>
          <w:rFonts w:ascii="Arial" w:hAnsi="Arial" w:cs="Arial"/>
          <w:b/>
          <w:sz w:val="28"/>
          <w:szCs w:val="28"/>
        </w:rPr>
        <w:t>Make more cuts to the State budget</w:t>
      </w:r>
    </w:p>
    <w:p w:rsidR="00D95BE6" w:rsidRDefault="00D95BE6" w:rsidP="00D95BE6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343B40" w:rsidRDefault="00343B40" w:rsidP="00BA61B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Unrestricted General Fund budget has gone from $6 billion in FY2015 (ends June 30, 2015) to $5.4 billion in FY</w:t>
      </w:r>
      <w:r w:rsidR="00865AA9">
        <w:rPr>
          <w:rFonts w:ascii="Arial" w:hAnsi="Arial" w:cs="Arial"/>
          <w:b/>
          <w:sz w:val="28"/>
          <w:szCs w:val="28"/>
        </w:rPr>
        <w:t>2016 (starts July 1, 2016); most of those cuts have come from capital budget</w:t>
      </w:r>
    </w:p>
    <w:p w:rsidR="00C06204" w:rsidRDefault="00C06204" w:rsidP="00C06204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C06204" w:rsidRDefault="00D95BE6" w:rsidP="00BA61B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8"/>
          <w:szCs w:val="28"/>
        </w:rPr>
      </w:pPr>
      <w:r w:rsidRPr="00D95BE6">
        <w:rPr>
          <w:rFonts w:ascii="Arial" w:hAnsi="Arial" w:cs="Arial"/>
          <w:b/>
          <w:sz w:val="28"/>
          <w:szCs w:val="28"/>
        </w:rPr>
        <w:t>Alaska has budget above the national average on a per capita basis and is also dropping to the point that is now close to levels of the late 1970s when adjusted for inflation and population</w:t>
      </w:r>
      <w:r w:rsidR="00C06204">
        <w:rPr>
          <w:rFonts w:ascii="Arial" w:hAnsi="Arial" w:cs="Arial"/>
          <w:b/>
          <w:sz w:val="28"/>
          <w:szCs w:val="28"/>
        </w:rPr>
        <w:t>, according to the Office of</w:t>
      </w:r>
      <w:r w:rsidR="00C06204" w:rsidRPr="00BA61BA">
        <w:rPr>
          <w:rFonts w:ascii="Arial" w:hAnsi="Arial" w:cs="Arial"/>
          <w:b/>
          <w:sz w:val="28"/>
          <w:szCs w:val="28"/>
        </w:rPr>
        <w:t xml:space="preserve"> Management and Budget</w:t>
      </w:r>
    </w:p>
    <w:p w:rsidR="00BA61BA" w:rsidRPr="00BA61BA" w:rsidRDefault="00BA61BA" w:rsidP="00BA61B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A61BA" w:rsidRPr="00BA61BA" w:rsidRDefault="00BA61BA" w:rsidP="00BA61BA">
      <w:pPr>
        <w:pStyle w:val="ListParagraph"/>
        <w:ind w:left="2160"/>
        <w:rPr>
          <w:rFonts w:ascii="Arial" w:hAnsi="Arial" w:cs="Arial"/>
          <w:b/>
          <w:sz w:val="28"/>
          <w:szCs w:val="28"/>
        </w:rPr>
      </w:pPr>
    </w:p>
    <w:p w:rsidR="00865AA9" w:rsidRPr="00D95BE6" w:rsidRDefault="00865AA9" w:rsidP="00BA61B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Big items in budget:   K-12 education; Medicaid; oil and gas production tax credits</w:t>
      </w:r>
    </w:p>
    <w:p w:rsidR="00BE51A7" w:rsidRDefault="00BE51A7" w:rsidP="00BE51A7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E51A7" w:rsidRPr="00D95BE6" w:rsidRDefault="00BE51A7" w:rsidP="00BA61B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D95BE6">
        <w:rPr>
          <w:rFonts w:ascii="Arial" w:hAnsi="Arial" w:cs="Arial"/>
          <w:b/>
          <w:sz w:val="28"/>
          <w:szCs w:val="28"/>
        </w:rPr>
        <w:t>Levy income tax on individuals</w:t>
      </w:r>
    </w:p>
    <w:p w:rsidR="00BE51A7" w:rsidRDefault="00BE51A7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95BE6" w:rsidRDefault="001F1FA6" w:rsidP="00BA61B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State of </w:t>
      </w:r>
      <w:r w:rsidR="00D95BE6" w:rsidRPr="00D95BE6">
        <w:rPr>
          <w:rFonts w:ascii="Arial" w:hAnsi="Arial" w:cs="Arial"/>
          <w:b/>
          <w:sz w:val="28"/>
          <w:szCs w:val="28"/>
        </w:rPr>
        <w:t xml:space="preserve">Alaska </w:t>
      </w:r>
      <w:r w:rsidR="00D95BE6">
        <w:rPr>
          <w:rFonts w:ascii="Arial" w:hAnsi="Arial" w:cs="Arial"/>
          <w:b/>
          <w:sz w:val="28"/>
          <w:szCs w:val="28"/>
        </w:rPr>
        <w:t>had a progressive individual tax from 1949 until 1980</w:t>
      </w:r>
    </w:p>
    <w:p w:rsidR="00D95BE6" w:rsidRDefault="00D95BE6" w:rsidP="00D95BE6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3459E1" w:rsidRDefault="001F1FA6" w:rsidP="003C109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State of </w:t>
      </w:r>
      <w:r w:rsidR="00D95BE6">
        <w:rPr>
          <w:rFonts w:ascii="Arial" w:hAnsi="Arial" w:cs="Arial"/>
          <w:b/>
          <w:sz w:val="28"/>
          <w:szCs w:val="28"/>
        </w:rPr>
        <w:t xml:space="preserve">Alaska </w:t>
      </w:r>
      <w:r w:rsidR="00D95BE6" w:rsidRPr="00D95BE6">
        <w:rPr>
          <w:rFonts w:ascii="Arial" w:hAnsi="Arial" w:cs="Arial"/>
          <w:b/>
          <w:sz w:val="28"/>
          <w:szCs w:val="28"/>
        </w:rPr>
        <w:t xml:space="preserve">has </w:t>
      </w:r>
      <w:r w:rsidR="003C1092">
        <w:rPr>
          <w:rFonts w:ascii="Arial" w:hAnsi="Arial" w:cs="Arial"/>
          <w:b/>
          <w:sz w:val="28"/>
          <w:szCs w:val="28"/>
        </w:rPr>
        <w:t xml:space="preserve">some taxes on individuals (tobacco, alcohol, motor fuels), but the State of Alaska has the </w:t>
      </w:r>
      <w:r w:rsidR="00D95BE6" w:rsidRPr="00D95BE6">
        <w:rPr>
          <w:rFonts w:ascii="Arial" w:hAnsi="Arial" w:cs="Arial"/>
          <w:b/>
          <w:sz w:val="28"/>
          <w:szCs w:val="28"/>
        </w:rPr>
        <w:t xml:space="preserve">lowest </w:t>
      </w:r>
      <w:r>
        <w:rPr>
          <w:rFonts w:ascii="Arial" w:hAnsi="Arial" w:cs="Arial"/>
          <w:b/>
          <w:sz w:val="28"/>
          <w:szCs w:val="28"/>
        </w:rPr>
        <w:t xml:space="preserve">state </w:t>
      </w:r>
      <w:r w:rsidR="00D95BE6" w:rsidRPr="00D95BE6">
        <w:rPr>
          <w:rFonts w:ascii="Arial" w:hAnsi="Arial" w:cs="Arial"/>
          <w:b/>
          <w:sz w:val="28"/>
          <w:szCs w:val="28"/>
        </w:rPr>
        <w:t>taxes on individuals in the U.S.,</w:t>
      </w:r>
      <w:r w:rsidR="003C1092">
        <w:rPr>
          <w:rFonts w:ascii="Arial" w:hAnsi="Arial" w:cs="Arial"/>
          <w:b/>
          <w:sz w:val="28"/>
          <w:szCs w:val="28"/>
        </w:rPr>
        <w:t xml:space="preserve"> </w:t>
      </w:r>
      <w:r w:rsidR="00D95BE6" w:rsidRPr="00D95BE6">
        <w:rPr>
          <w:rFonts w:ascii="Arial" w:hAnsi="Arial" w:cs="Arial"/>
          <w:b/>
          <w:sz w:val="28"/>
          <w:szCs w:val="28"/>
        </w:rPr>
        <w:t xml:space="preserve"> particularly on higher-income people</w:t>
      </w:r>
    </w:p>
    <w:p w:rsidR="003459E1" w:rsidRPr="003459E1" w:rsidRDefault="003459E1" w:rsidP="003459E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95BE6" w:rsidRPr="00D95BE6" w:rsidRDefault="003459E1" w:rsidP="00BA61B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 individual income tax of 15 percent of federal income tax liability would raise about $575 million per year, according to the Alaska Department of Revenue</w:t>
      </w:r>
      <w:r w:rsidR="00D95BE6" w:rsidRPr="00D95BE6">
        <w:rPr>
          <w:rFonts w:ascii="Arial" w:hAnsi="Arial" w:cs="Arial"/>
          <w:b/>
          <w:sz w:val="28"/>
          <w:szCs w:val="28"/>
        </w:rPr>
        <w:t xml:space="preserve"> </w:t>
      </w:r>
    </w:p>
    <w:p w:rsidR="00C06204" w:rsidRDefault="00C06204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C1092" w:rsidRDefault="003C1092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C1092" w:rsidRDefault="003C1092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C06204" w:rsidRPr="00BE51A7" w:rsidRDefault="00C06204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Pr="00BA61BA" w:rsidRDefault="00BE51A7" w:rsidP="00BA61B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BA61BA">
        <w:rPr>
          <w:rFonts w:ascii="Arial" w:hAnsi="Arial" w:cs="Arial"/>
          <w:b/>
          <w:sz w:val="28"/>
          <w:szCs w:val="28"/>
        </w:rPr>
        <w:t>Levy general statewide sales tax</w:t>
      </w:r>
    </w:p>
    <w:p w:rsidR="00D95BE6" w:rsidRDefault="00D95BE6" w:rsidP="00D95BE6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D95BE6" w:rsidRDefault="00D95BE6" w:rsidP="00BA61BA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Alaska has never had a </w:t>
      </w:r>
      <w:r w:rsidR="00BA61BA">
        <w:rPr>
          <w:rFonts w:ascii="Arial" w:hAnsi="Arial" w:cs="Arial"/>
          <w:b/>
          <w:sz w:val="28"/>
          <w:szCs w:val="28"/>
        </w:rPr>
        <w:t xml:space="preserve">general </w:t>
      </w:r>
      <w:r>
        <w:rPr>
          <w:rFonts w:ascii="Arial" w:hAnsi="Arial" w:cs="Arial"/>
          <w:b/>
          <w:sz w:val="28"/>
          <w:szCs w:val="28"/>
        </w:rPr>
        <w:t xml:space="preserve">statewide sales tax, although </w:t>
      </w:r>
      <w:r w:rsidR="007C7723">
        <w:rPr>
          <w:rFonts w:ascii="Arial" w:hAnsi="Arial" w:cs="Arial"/>
          <w:b/>
          <w:sz w:val="28"/>
          <w:szCs w:val="28"/>
        </w:rPr>
        <w:t xml:space="preserve">more than 100 </w:t>
      </w:r>
      <w:r>
        <w:rPr>
          <w:rFonts w:ascii="Arial" w:hAnsi="Arial" w:cs="Arial"/>
          <w:b/>
          <w:sz w:val="28"/>
          <w:szCs w:val="28"/>
        </w:rPr>
        <w:t xml:space="preserve">local governments in Alaska have a </w:t>
      </w:r>
      <w:r w:rsidR="00BA61BA">
        <w:rPr>
          <w:rFonts w:ascii="Arial" w:hAnsi="Arial" w:cs="Arial"/>
          <w:b/>
          <w:sz w:val="28"/>
          <w:szCs w:val="28"/>
        </w:rPr>
        <w:t xml:space="preserve">general </w:t>
      </w:r>
      <w:r>
        <w:rPr>
          <w:rFonts w:ascii="Arial" w:hAnsi="Arial" w:cs="Arial"/>
          <w:b/>
          <w:sz w:val="28"/>
          <w:szCs w:val="28"/>
        </w:rPr>
        <w:t>sales tax</w:t>
      </w:r>
    </w:p>
    <w:p w:rsidR="003459E1" w:rsidRDefault="003459E1" w:rsidP="003459E1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3459E1" w:rsidRDefault="003459E1" w:rsidP="00BA61BA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sales tax in Alaska would raise about $140 million for each percentage point (3 percent sales tax brings in $418 million; that figure drops if tax exemptions are included)</w:t>
      </w:r>
      <w:r w:rsidR="006076B6">
        <w:rPr>
          <w:rFonts w:ascii="Arial" w:hAnsi="Arial" w:cs="Arial"/>
          <w:b/>
          <w:sz w:val="28"/>
          <w:szCs w:val="28"/>
        </w:rPr>
        <w:t>—Alaska Department of Revenue</w:t>
      </w:r>
    </w:p>
    <w:p w:rsidR="00BE51A7" w:rsidRPr="00BE51A7" w:rsidRDefault="00BE51A7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Pr="00BA61BA" w:rsidRDefault="00BE51A7" w:rsidP="00BA61B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BA61BA">
        <w:rPr>
          <w:rFonts w:ascii="Arial" w:hAnsi="Arial" w:cs="Arial"/>
          <w:b/>
          <w:sz w:val="28"/>
          <w:szCs w:val="28"/>
        </w:rPr>
        <w:t xml:space="preserve">Increase oil tax rates and/or change oil tax credits to increase revenues </w:t>
      </w:r>
    </w:p>
    <w:p w:rsidR="00D167C3" w:rsidRDefault="00D167C3" w:rsidP="00D95BE6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D167C3" w:rsidRPr="00D167C3" w:rsidRDefault="00D167C3" w:rsidP="00BA61B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D167C3">
        <w:rPr>
          <w:rFonts w:ascii="Arial" w:hAnsi="Arial" w:cs="Arial"/>
          <w:b/>
          <w:sz w:val="28"/>
          <w:szCs w:val="28"/>
        </w:rPr>
        <w:t>Taxes and royalties on oil development have</w:t>
      </w:r>
      <w:r w:rsidR="0027781D">
        <w:rPr>
          <w:rFonts w:ascii="Arial" w:hAnsi="Arial" w:cs="Arial"/>
          <w:b/>
          <w:sz w:val="28"/>
          <w:szCs w:val="28"/>
        </w:rPr>
        <w:t xml:space="preserve"> until recently</w:t>
      </w:r>
      <w:r w:rsidRPr="00D167C3">
        <w:rPr>
          <w:rFonts w:ascii="Arial" w:hAnsi="Arial" w:cs="Arial"/>
          <w:b/>
          <w:sz w:val="28"/>
          <w:szCs w:val="28"/>
        </w:rPr>
        <w:t xml:space="preserve"> provided more than 85 percent of what is traditionally thought of the Alaska state budget (Unrestricted General Fund)</w:t>
      </w:r>
      <w:r w:rsidR="0027781D">
        <w:rPr>
          <w:rFonts w:ascii="Arial" w:hAnsi="Arial" w:cs="Arial"/>
          <w:b/>
          <w:sz w:val="28"/>
          <w:szCs w:val="28"/>
        </w:rPr>
        <w:t xml:space="preserve">—for FY2015 and 2016, that figure is dropping to about 75 percent </w:t>
      </w:r>
    </w:p>
    <w:p w:rsidR="00D167C3" w:rsidRDefault="00D167C3" w:rsidP="00D167C3">
      <w:pPr>
        <w:pStyle w:val="ListParagraph"/>
        <w:ind w:left="1800"/>
        <w:rPr>
          <w:sz w:val="28"/>
          <w:szCs w:val="28"/>
        </w:rPr>
      </w:pPr>
    </w:p>
    <w:p w:rsidR="00D167C3" w:rsidRDefault="00D167C3" w:rsidP="00BA61B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is needed on whether/how much oil tax changes could raise revenues without excessively reducing oil production</w:t>
      </w:r>
    </w:p>
    <w:p w:rsidR="00BE51A7" w:rsidRDefault="00BE51A7" w:rsidP="00867CF7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E51A7" w:rsidRDefault="00BE51A7" w:rsidP="00BA61B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BE51A7">
        <w:rPr>
          <w:rFonts w:ascii="Arial" w:hAnsi="Arial" w:cs="Arial"/>
          <w:b/>
          <w:sz w:val="28"/>
          <w:szCs w:val="28"/>
        </w:rPr>
        <w:t>Implement endowment/Percent of Market Value (POMV) approach to Permanent Fund income so as to direct some portion of Permanent Fund income to the General Fund</w:t>
      </w:r>
    </w:p>
    <w:p w:rsidR="00D95BE6" w:rsidRDefault="00D95BE6" w:rsidP="00D95BE6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D95BE6" w:rsidRDefault="00D95BE6" w:rsidP="001A0420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 w:rsidRPr="00D167C3">
        <w:rPr>
          <w:rFonts w:ascii="Arial" w:hAnsi="Arial" w:cs="Arial"/>
          <w:b/>
          <w:sz w:val="28"/>
          <w:szCs w:val="28"/>
        </w:rPr>
        <w:t>Alaska is the only state in the U.S.—and the only place in the world—with a Permanent Fund Dividend</w:t>
      </w:r>
    </w:p>
    <w:p w:rsidR="00D167C3" w:rsidRPr="00D167C3" w:rsidRDefault="00D167C3" w:rsidP="00D167C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D95BE6" w:rsidRPr="00D167C3" w:rsidRDefault="00D95BE6" w:rsidP="001A0420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 w:rsidRPr="00D167C3">
        <w:rPr>
          <w:rFonts w:ascii="Arial" w:hAnsi="Arial" w:cs="Arial"/>
          <w:b/>
          <w:sz w:val="28"/>
          <w:szCs w:val="28"/>
        </w:rPr>
        <w:t xml:space="preserve">Research is needed on the </w:t>
      </w:r>
      <w:r w:rsidR="00927C61" w:rsidRPr="00D167C3">
        <w:rPr>
          <w:rFonts w:ascii="Arial" w:hAnsi="Arial" w:cs="Arial"/>
          <w:b/>
          <w:sz w:val="28"/>
          <w:szCs w:val="28"/>
        </w:rPr>
        <w:t xml:space="preserve">effects of different allocations of Permanent Fund income on the </w:t>
      </w:r>
      <w:r w:rsidR="00927C61" w:rsidRPr="00D167C3">
        <w:rPr>
          <w:rFonts w:ascii="Arial" w:hAnsi="Arial" w:cs="Arial"/>
          <w:b/>
          <w:sz w:val="28"/>
          <w:szCs w:val="28"/>
        </w:rPr>
        <w:lastRenderedPageBreak/>
        <w:t>Permanent Fund’s principal and on Permanent Fund Dividends</w:t>
      </w:r>
    </w:p>
    <w:p w:rsidR="00BE51A7" w:rsidRPr="00BE51A7" w:rsidRDefault="00BE51A7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Pr="001A0420" w:rsidRDefault="00BE51A7" w:rsidP="001A0420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1A0420">
        <w:rPr>
          <w:rFonts w:ascii="Arial" w:hAnsi="Arial" w:cs="Arial"/>
          <w:b/>
          <w:sz w:val="28"/>
          <w:szCs w:val="28"/>
        </w:rPr>
        <w:t>Put up some portion of the State’s savings (such as the Permanent Fund) as collateral for a loan the State could use to engage in arbitrage (also known as collateralization)</w:t>
      </w:r>
    </w:p>
    <w:p w:rsidR="00A3240A" w:rsidRPr="00A3240A" w:rsidRDefault="00A3240A" w:rsidP="00A3240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3240A" w:rsidRDefault="00C06204" w:rsidP="001A0420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is needed on the risks and rewards of this approach</w:t>
      </w:r>
    </w:p>
    <w:p w:rsidR="00634DD7" w:rsidRDefault="00634DD7" w:rsidP="00634DD7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634DD7" w:rsidRPr="00BE51A7" w:rsidRDefault="00634DD7" w:rsidP="00634DD7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BE51A7" w:rsidRPr="00BE51A7" w:rsidRDefault="00BE51A7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Pr="00A3240A" w:rsidRDefault="00BE51A7" w:rsidP="00A3240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A3240A">
        <w:rPr>
          <w:rFonts w:ascii="Arial" w:hAnsi="Arial" w:cs="Arial"/>
          <w:b/>
          <w:sz w:val="28"/>
          <w:szCs w:val="28"/>
        </w:rPr>
        <w:t>Politics</w:t>
      </w:r>
      <w:r w:rsidR="00A3240A">
        <w:rPr>
          <w:rFonts w:ascii="Arial" w:hAnsi="Arial" w:cs="Arial"/>
          <w:b/>
          <w:sz w:val="28"/>
          <w:szCs w:val="28"/>
        </w:rPr>
        <w:t xml:space="preserve"> of Filling the Gap</w:t>
      </w:r>
    </w:p>
    <w:p w:rsidR="00BE51A7" w:rsidRPr="00BE51A7" w:rsidRDefault="00BE51A7" w:rsidP="00BE51A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BE51A7" w:rsidRPr="001A0420" w:rsidRDefault="001A0420" w:rsidP="001A0420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E51A7" w:rsidRPr="001A0420">
        <w:rPr>
          <w:rFonts w:ascii="Arial" w:hAnsi="Arial" w:cs="Arial"/>
          <w:b/>
          <w:sz w:val="28"/>
          <w:szCs w:val="28"/>
        </w:rPr>
        <w:t>Groh Triangle</w:t>
      </w:r>
      <w:r w:rsidRPr="001A0420">
        <w:rPr>
          <w:rFonts w:ascii="Arial" w:hAnsi="Arial" w:cs="Arial"/>
          <w:b/>
          <w:sz w:val="28"/>
          <w:szCs w:val="28"/>
        </w:rPr>
        <w:t xml:space="preserve">:   </w:t>
      </w:r>
      <w:r w:rsidR="00BE51A7" w:rsidRPr="001A0420">
        <w:rPr>
          <w:rFonts w:ascii="Arial" w:hAnsi="Arial" w:cs="Arial"/>
          <w:b/>
          <w:sz w:val="28"/>
          <w:szCs w:val="28"/>
        </w:rPr>
        <w:t>What do you hate or fear the most?</w:t>
      </w:r>
    </w:p>
    <w:p w:rsidR="00BE51A7" w:rsidRPr="00BE51A7" w:rsidRDefault="00BE51A7" w:rsidP="00BE51A7">
      <w:pPr>
        <w:ind w:left="1080"/>
        <w:rPr>
          <w:rFonts w:ascii="Arial" w:hAnsi="Arial" w:cs="Arial"/>
          <w:b/>
          <w:sz w:val="28"/>
          <w:szCs w:val="28"/>
        </w:rPr>
      </w:pPr>
      <w:r w:rsidRPr="00BE51A7">
        <w:rPr>
          <w:rFonts w:ascii="Arial" w:hAnsi="Arial" w:cs="Arial"/>
          <w:b/>
          <w:sz w:val="28"/>
          <w:szCs w:val="28"/>
        </w:rPr>
        <w:tab/>
      </w:r>
      <w:r w:rsidRPr="00BE51A7">
        <w:rPr>
          <w:rFonts w:ascii="Arial" w:hAnsi="Arial" w:cs="Arial"/>
          <w:b/>
          <w:sz w:val="28"/>
          <w:szCs w:val="28"/>
        </w:rPr>
        <w:tab/>
      </w:r>
      <w:r w:rsidRPr="00BE51A7">
        <w:rPr>
          <w:rFonts w:ascii="Arial" w:hAnsi="Arial" w:cs="Arial"/>
          <w:b/>
          <w:sz w:val="28"/>
          <w:szCs w:val="28"/>
        </w:rPr>
        <w:tab/>
      </w:r>
      <w:r w:rsidRPr="00BE51A7">
        <w:rPr>
          <w:rFonts w:ascii="Arial" w:hAnsi="Arial" w:cs="Arial"/>
          <w:b/>
          <w:sz w:val="28"/>
          <w:szCs w:val="28"/>
        </w:rPr>
        <w:tab/>
        <w:t>More budget cuts</w:t>
      </w:r>
    </w:p>
    <w:p w:rsidR="00BE51A7" w:rsidRPr="00BE51A7" w:rsidRDefault="00BE51A7" w:rsidP="00BE51A7">
      <w:pPr>
        <w:ind w:left="1080"/>
        <w:rPr>
          <w:rFonts w:ascii="Arial" w:hAnsi="Arial" w:cs="Arial"/>
          <w:b/>
          <w:sz w:val="28"/>
          <w:szCs w:val="28"/>
        </w:rPr>
      </w:pPr>
    </w:p>
    <w:p w:rsidR="00BE51A7" w:rsidRDefault="001A0420" w:rsidP="00BE51A7">
      <w:pPr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BE51A7" w:rsidRPr="00BE51A7">
        <w:rPr>
          <w:rFonts w:ascii="Arial" w:hAnsi="Arial" w:cs="Arial"/>
          <w:b/>
          <w:sz w:val="28"/>
          <w:szCs w:val="28"/>
        </w:rPr>
        <w:t>Permanent Fund Dividend cuts</w:t>
      </w:r>
      <w:r w:rsidR="00BE51A7" w:rsidRPr="00BE51A7">
        <w:rPr>
          <w:rFonts w:ascii="Arial" w:hAnsi="Arial" w:cs="Arial"/>
          <w:b/>
          <w:sz w:val="28"/>
          <w:szCs w:val="28"/>
        </w:rPr>
        <w:tab/>
      </w:r>
      <w:r w:rsidR="00BE51A7" w:rsidRPr="00BE51A7">
        <w:rPr>
          <w:rFonts w:ascii="Arial" w:hAnsi="Arial" w:cs="Arial"/>
          <w:b/>
          <w:sz w:val="28"/>
          <w:szCs w:val="28"/>
        </w:rPr>
        <w:tab/>
        <w:t>Individual taxes</w:t>
      </w:r>
    </w:p>
    <w:p w:rsidR="001A0420" w:rsidRDefault="001A0420" w:rsidP="001A0420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E51A7" w:rsidRPr="001A0420" w:rsidRDefault="001A0420" w:rsidP="001A0420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BE51A7" w:rsidRPr="001A0420">
        <w:rPr>
          <w:rFonts w:ascii="Arial" w:hAnsi="Arial" w:cs="Arial"/>
          <w:b/>
          <w:sz w:val="28"/>
          <w:szCs w:val="28"/>
        </w:rPr>
        <w:t>Short explanation of “Why don’t legislators do more?”</w:t>
      </w:r>
    </w:p>
    <w:p w:rsidR="00BE51A7" w:rsidRPr="00BE51A7" w:rsidRDefault="00BE51A7" w:rsidP="00BE51A7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E51A7" w:rsidRPr="00BE51A7" w:rsidRDefault="00BE51A7" w:rsidP="00BE51A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BE51A7">
        <w:rPr>
          <w:rFonts w:ascii="Arial" w:hAnsi="Arial" w:cs="Arial"/>
          <w:b/>
          <w:sz w:val="28"/>
          <w:szCs w:val="28"/>
        </w:rPr>
        <w:t>Inertia</w:t>
      </w:r>
    </w:p>
    <w:p w:rsidR="00BE51A7" w:rsidRPr="00BE51A7" w:rsidRDefault="00BE51A7" w:rsidP="00BE51A7">
      <w:pPr>
        <w:pStyle w:val="ListParagraph"/>
        <w:ind w:left="2520"/>
        <w:rPr>
          <w:rFonts w:ascii="Arial" w:hAnsi="Arial" w:cs="Arial"/>
          <w:b/>
          <w:sz w:val="28"/>
          <w:szCs w:val="28"/>
        </w:rPr>
      </w:pPr>
    </w:p>
    <w:p w:rsidR="00BE51A7" w:rsidRPr="00BE51A7" w:rsidRDefault="00BE51A7" w:rsidP="00BE51A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BE51A7">
        <w:rPr>
          <w:rFonts w:ascii="Arial" w:hAnsi="Arial" w:cs="Arial"/>
          <w:b/>
          <w:sz w:val="28"/>
          <w:szCs w:val="28"/>
        </w:rPr>
        <w:t>Incumbent fear</w:t>
      </w:r>
    </w:p>
    <w:p w:rsidR="00BE51A7" w:rsidRPr="00BE51A7" w:rsidRDefault="00BE51A7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Default="00BE51A7" w:rsidP="00BE51A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BE51A7">
        <w:rPr>
          <w:rFonts w:ascii="Arial" w:hAnsi="Arial" w:cs="Arial"/>
          <w:b/>
          <w:sz w:val="28"/>
          <w:szCs w:val="28"/>
        </w:rPr>
        <w:t>Incentives</w:t>
      </w:r>
    </w:p>
    <w:p w:rsidR="00634DD7" w:rsidRPr="00634DD7" w:rsidRDefault="00634DD7" w:rsidP="00634DD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Pr="00BE51A7" w:rsidRDefault="00BE51A7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Pr="00BE51A7" w:rsidRDefault="00BE51A7" w:rsidP="001A0420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BE51A7">
        <w:rPr>
          <w:rFonts w:ascii="Arial" w:hAnsi="Arial" w:cs="Arial"/>
          <w:b/>
          <w:sz w:val="28"/>
          <w:szCs w:val="28"/>
        </w:rPr>
        <w:t>More expansive explanation</w:t>
      </w:r>
    </w:p>
    <w:p w:rsidR="00BE51A7" w:rsidRPr="00BE51A7" w:rsidRDefault="00BE51A7" w:rsidP="00BE51A7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E51A7" w:rsidRPr="00634DD7" w:rsidRDefault="00634DD7" w:rsidP="00FA69D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634DD7">
        <w:rPr>
          <w:rFonts w:ascii="Arial" w:hAnsi="Arial" w:cs="Arial"/>
          <w:b/>
          <w:sz w:val="28"/>
          <w:szCs w:val="28"/>
        </w:rPr>
        <w:t>Roles of p</w:t>
      </w:r>
      <w:r w:rsidR="00BE51A7" w:rsidRPr="00634DD7">
        <w:rPr>
          <w:rFonts w:ascii="Arial" w:hAnsi="Arial" w:cs="Arial"/>
          <w:b/>
          <w:sz w:val="28"/>
          <w:szCs w:val="28"/>
        </w:rPr>
        <w:t>ersonal</w:t>
      </w:r>
      <w:r w:rsidR="001A0420">
        <w:rPr>
          <w:rFonts w:ascii="Arial" w:hAnsi="Arial" w:cs="Arial"/>
          <w:b/>
          <w:sz w:val="28"/>
          <w:szCs w:val="28"/>
        </w:rPr>
        <w:t xml:space="preserve">ity focus, </w:t>
      </w:r>
      <w:r w:rsidRPr="00634DD7">
        <w:rPr>
          <w:rFonts w:ascii="Arial" w:hAnsi="Arial" w:cs="Arial"/>
          <w:b/>
          <w:sz w:val="28"/>
          <w:szCs w:val="28"/>
        </w:rPr>
        <w:t>leadership, and dealmakers/state</w:t>
      </w:r>
      <w:r>
        <w:rPr>
          <w:rFonts w:ascii="Arial" w:hAnsi="Arial" w:cs="Arial"/>
          <w:b/>
          <w:sz w:val="28"/>
          <w:szCs w:val="28"/>
        </w:rPr>
        <w:t>s</w:t>
      </w:r>
      <w:r w:rsidRPr="00634DD7">
        <w:rPr>
          <w:rFonts w:ascii="Arial" w:hAnsi="Arial" w:cs="Arial"/>
          <w:b/>
          <w:sz w:val="28"/>
          <w:szCs w:val="28"/>
        </w:rPr>
        <w:t>men</w:t>
      </w:r>
    </w:p>
    <w:p w:rsidR="00BE51A7" w:rsidRPr="00BE51A7" w:rsidRDefault="00BE51A7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Pr="00BE51A7" w:rsidRDefault="00BE51A7" w:rsidP="00BE51A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BE51A7">
        <w:rPr>
          <w:rFonts w:ascii="Arial" w:hAnsi="Arial" w:cs="Arial"/>
          <w:b/>
          <w:sz w:val="28"/>
          <w:szCs w:val="28"/>
        </w:rPr>
        <w:t>Rise in national ideology and politics</w:t>
      </w:r>
    </w:p>
    <w:p w:rsidR="00BE51A7" w:rsidRPr="00BE51A7" w:rsidRDefault="00BE51A7" w:rsidP="00BE51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E51A7" w:rsidRPr="00BE51A7" w:rsidRDefault="00BE51A7" w:rsidP="00BE51A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BE51A7">
        <w:rPr>
          <w:rFonts w:ascii="Arial" w:hAnsi="Arial" w:cs="Arial"/>
          <w:b/>
          <w:sz w:val="28"/>
          <w:szCs w:val="28"/>
        </w:rPr>
        <w:t>No surplus dollars for lubrication of legislative process</w:t>
      </w:r>
    </w:p>
    <w:p w:rsidR="00D95BE6" w:rsidRDefault="00D95BE6" w:rsidP="00BE51A7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ED272A" w:rsidRDefault="00ED272A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  <w:r w:rsidRPr="00E44A05">
        <w:rPr>
          <w:rFonts w:ascii="Verdana" w:hAnsi="Verdana" w:cs="Arial"/>
          <w:b/>
          <w:i/>
          <w:sz w:val="48"/>
          <w:szCs w:val="48"/>
        </w:rPr>
        <w:t>MORE INFORMATION AVAILABLE:</w:t>
      </w:r>
    </w:p>
    <w:p w:rsidR="00E44A05" w:rsidRPr="00E44A05" w:rsidRDefault="00E44A05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</w:p>
    <w:p w:rsidR="00ED272A" w:rsidRDefault="00ED272A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  <w:r w:rsidRPr="00E44A05">
        <w:rPr>
          <w:rFonts w:ascii="Verdana" w:hAnsi="Verdana" w:cs="Arial"/>
          <w:b/>
          <w:i/>
          <w:sz w:val="48"/>
          <w:szCs w:val="48"/>
        </w:rPr>
        <w:t>Forum on Alaska’s Fiscal and Economic Future</w:t>
      </w:r>
    </w:p>
    <w:p w:rsidR="00E44A05" w:rsidRPr="00E44A05" w:rsidRDefault="00E44A05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</w:p>
    <w:p w:rsidR="00C105C1" w:rsidRPr="00E44A05" w:rsidRDefault="00ED272A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  <w:r w:rsidRPr="00E44A05">
        <w:rPr>
          <w:rFonts w:ascii="Verdana" w:hAnsi="Verdana" w:cs="Arial"/>
          <w:b/>
          <w:i/>
          <w:sz w:val="48"/>
          <w:szCs w:val="48"/>
        </w:rPr>
        <w:t>Saturday, September 19, 2015</w:t>
      </w:r>
    </w:p>
    <w:p w:rsidR="00E44A05" w:rsidRDefault="00E44A05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</w:p>
    <w:p w:rsidR="00ED272A" w:rsidRPr="00E44A05" w:rsidRDefault="00C105C1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  <w:r w:rsidRPr="00E44A05">
        <w:rPr>
          <w:rFonts w:ascii="Verdana" w:hAnsi="Verdana" w:cs="Arial"/>
          <w:b/>
          <w:i/>
          <w:sz w:val="48"/>
          <w:szCs w:val="48"/>
        </w:rPr>
        <w:t>Wendy Williamson Auditorium</w:t>
      </w:r>
    </w:p>
    <w:p w:rsidR="00C105C1" w:rsidRDefault="00C105C1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  <w:r w:rsidRPr="00E44A05">
        <w:rPr>
          <w:rFonts w:ascii="Verdana" w:hAnsi="Verdana" w:cs="Arial"/>
          <w:b/>
          <w:i/>
          <w:sz w:val="48"/>
          <w:szCs w:val="48"/>
        </w:rPr>
        <w:t>University of Alaska Anchorage</w:t>
      </w:r>
    </w:p>
    <w:p w:rsidR="00E44A05" w:rsidRPr="00E44A05" w:rsidRDefault="00E44A05" w:rsidP="00ED272A">
      <w:pPr>
        <w:jc w:val="center"/>
        <w:rPr>
          <w:rFonts w:ascii="Verdana" w:hAnsi="Verdana" w:cs="Arial"/>
          <w:b/>
          <w:i/>
          <w:sz w:val="48"/>
          <w:szCs w:val="48"/>
        </w:rPr>
      </w:pPr>
    </w:p>
    <w:p w:rsidR="00ED272A" w:rsidRPr="00E44A05" w:rsidRDefault="00ED272A" w:rsidP="00ED272A">
      <w:pPr>
        <w:jc w:val="center"/>
        <w:rPr>
          <w:rFonts w:ascii="Verdana" w:eastAsia="Times New Roman" w:hAnsi="Verdana" w:cs="Arial"/>
          <w:i/>
          <w:color w:val="222222"/>
          <w:sz w:val="48"/>
          <w:szCs w:val="48"/>
        </w:rPr>
      </w:pPr>
      <w:r w:rsidRPr="00E44A05">
        <w:rPr>
          <w:rFonts w:ascii="Verdana" w:hAnsi="Verdana" w:cs="Arial"/>
          <w:b/>
          <w:i/>
          <w:sz w:val="48"/>
          <w:szCs w:val="48"/>
        </w:rPr>
        <w:t>9 a.m.-4 p.m.</w:t>
      </w:r>
    </w:p>
    <w:p w:rsidR="00ED272A" w:rsidRDefault="00ED272A" w:rsidP="00BE51A7">
      <w:pPr>
        <w:pStyle w:val="ListParagraph"/>
        <w:jc w:val="center"/>
        <w:rPr>
          <w:rFonts w:ascii="Verdana" w:hAnsi="Verdana" w:cs="Arial"/>
          <w:b/>
          <w:i/>
          <w:sz w:val="32"/>
          <w:szCs w:val="32"/>
        </w:rPr>
      </w:pPr>
    </w:p>
    <w:p w:rsidR="00E44A05" w:rsidRDefault="00E44A05" w:rsidP="00BE51A7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4A05">
        <w:rPr>
          <w:rFonts w:ascii="Times New Roman" w:hAnsi="Times New Roman" w:cs="Times New Roman"/>
          <w:b/>
          <w:sz w:val="48"/>
          <w:szCs w:val="48"/>
        </w:rPr>
        <w:t>Free and Open to the Public</w:t>
      </w:r>
    </w:p>
    <w:p w:rsidR="0092768C" w:rsidRDefault="0092768C" w:rsidP="00BE51A7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768C" w:rsidRDefault="0092768C" w:rsidP="00BE51A7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76AF" w:rsidRDefault="001676AF" w:rsidP="00BE51A7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92768C" w:rsidRDefault="0092768C" w:rsidP="00BE51A7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768C" w:rsidRDefault="0092768C" w:rsidP="0092768C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12B46">
        <w:rPr>
          <w:rFonts w:ascii="Arial" w:hAnsi="Arial" w:cs="Arial"/>
          <w:b/>
          <w:sz w:val="28"/>
          <w:szCs w:val="28"/>
        </w:rPr>
        <w:t xml:space="preserve">Cliff </w:t>
      </w:r>
      <w:r>
        <w:rPr>
          <w:rFonts w:ascii="Arial" w:hAnsi="Arial" w:cs="Arial"/>
          <w:b/>
          <w:sz w:val="28"/>
          <w:szCs w:val="28"/>
        </w:rPr>
        <w:t xml:space="preserve">Groh </w:t>
      </w:r>
      <w:r w:rsidRPr="00612B46">
        <w:rPr>
          <w:rFonts w:ascii="Arial" w:hAnsi="Arial" w:cs="Arial"/>
          <w:b/>
          <w:sz w:val="28"/>
          <w:szCs w:val="28"/>
        </w:rPr>
        <w:t xml:space="preserve">is a lifelong Alaskan and a lawyer and a writer.  </w:t>
      </w:r>
      <w:r>
        <w:rPr>
          <w:rFonts w:ascii="Arial" w:hAnsi="Arial" w:cs="Arial"/>
          <w:b/>
          <w:sz w:val="28"/>
          <w:szCs w:val="28"/>
        </w:rPr>
        <w:t>He</w:t>
      </w:r>
      <w:r w:rsidRPr="00612B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is also Chair of Alaska Common Ground, a public policy organization that is sponsoring an all-day forum on Alaska’s fiscal and economic future Saturday, September 19, at the Wendy Williamson Auditorium at the University of Alaska Anchorage.   </w:t>
      </w:r>
    </w:p>
    <w:p w:rsidR="0092768C" w:rsidRDefault="0092768C" w:rsidP="0092768C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Cliff </w:t>
      </w:r>
      <w:r w:rsidRPr="00612B46">
        <w:rPr>
          <w:rFonts w:ascii="Arial" w:hAnsi="Arial" w:cs="Arial"/>
          <w:b/>
          <w:sz w:val="28"/>
          <w:szCs w:val="28"/>
        </w:rPr>
        <w:t xml:space="preserve">worked on oil tax legislation while serving as Special </w:t>
      </w:r>
      <w:r w:rsidRPr="00612B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Assistant to the Alaska Commissioner of Revenue in 1987-1990 and on the legislation creating the Permanent Fund Dividend as a legislative aide in 1982.   He was an invited participant to the Walker-Mallott administration’s forum on Alaska’s future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in June of 2015 </w:t>
      </w:r>
      <w:r w:rsidRPr="00612B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at the University of Alaska Fairbanks and a delegate to the Conference of Alaskans in 2004.  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Cliff has authored or co-authored four chapters in academic books about Alaska fiscal policy and has made dozens of speeches and broadcast appearances on that topic over the past two decades.   </w:t>
      </w:r>
    </w:p>
    <w:p w:rsidR="0092768C" w:rsidRPr="00E44A05" w:rsidRDefault="0092768C" w:rsidP="00BE51A7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6FED" w:rsidRPr="00E44A05" w:rsidRDefault="00C86FED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C86FED" w:rsidRPr="00E44A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02" w:rsidRDefault="00AB2102" w:rsidP="00C36692">
      <w:pPr>
        <w:spacing w:after="0" w:line="240" w:lineRule="auto"/>
      </w:pPr>
      <w:r>
        <w:separator/>
      </w:r>
    </w:p>
  </w:endnote>
  <w:endnote w:type="continuationSeparator" w:id="0">
    <w:p w:rsidR="00AB2102" w:rsidRDefault="00AB2102" w:rsidP="00C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0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692" w:rsidRDefault="00C36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692" w:rsidRDefault="00C36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02" w:rsidRDefault="00AB2102" w:rsidP="00C36692">
      <w:pPr>
        <w:spacing w:after="0" w:line="240" w:lineRule="auto"/>
      </w:pPr>
      <w:r>
        <w:separator/>
      </w:r>
    </w:p>
  </w:footnote>
  <w:footnote w:type="continuationSeparator" w:id="0">
    <w:p w:rsidR="00AB2102" w:rsidRDefault="00AB2102" w:rsidP="00C3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736"/>
    <w:multiLevelType w:val="hybridMultilevel"/>
    <w:tmpl w:val="6FEC093E"/>
    <w:lvl w:ilvl="0" w:tplc="7A7EC2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3591E"/>
    <w:multiLevelType w:val="hybridMultilevel"/>
    <w:tmpl w:val="4FCEEFE2"/>
    <w:lvl w:ilvl="0" w:tplc="9EB868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21799D"/>
    <w:multiLevelType w:val="hybridMultilevel"/>
    <w:tmpl w:val="04908A18"/>
    <w:lvl w:ilvl="0" w:tplc="522CB8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015C1"/>
    <w:multiLevelType w:val="hybridMultilevel"/>
    <w:tmpl w:val="5CA0E568"/>
    <w:lvl w:ilvl="0" w:tplc="0980CC5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0421FA"/>
    <w:multiLevelType w:val="hybridMultilevel"/>
    <w:tmpl w:val="6248D5E2"/>
    <w:lvl w:ilvl="0" w:tplc="7472B6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AD1181"/>
    <w:multiLevelType w:val="hybridMultilevel"/>
    <w:tmpl w:val="459A7C0E"/>
    <w:lvl w:ilvl="0" w:tplc="DB40C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B5641E"/>
    <w:multiLevelType w:val="hybridMultilevel"/>
    <w:tmpl w:val="8C7CF8CA"/>
    <w:lvl w:ilvl="0" w:tplc="FC2A898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C74819"/>
    <w:multiLevelType w:val="hybridMultilevel"/>
    <w:tmpl w:val="AD18F29C"/>
    <w:lvl w:ilvl="0" w:tplc="87D6C1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EBC0321"/>
    <w:multiLevelType w:val="hybridMultilevel"/>
    <w:tmpl w:val="6FA219C2"/>
    <w:lvl w:ilvl="0" w:tplc="9AD67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001BAA"/>
    <w:multiLevelType w:val="hybridMultilevel"/>
    <w:tmpl w:val="351031E2"/>
    <w:lvl w:ilvl="0" w:tplc="8C6EC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0F0691"/>
    <w:multiLevelType w:val="hybridMultilevel"/>
    <w:tmpl w:val="12DCC4C2"/>
    <w:lvl w:ilvl="0" w:tplc="DB40C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CF569E"/>
    <w:multiLevelType w:val="hybridMultilevel"/>
    <w:tmpl w:val="FC9C7408"/>
    <w:lvl w:ilvl="0" w:tplc="645C7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7A036C"/>
    <w:multiLevelType w:val="hybridMultilevel"/>
    <w:tmpl w:val="D4E4CAA6"/>
    <w:lvl w:ilvl="0" w:tplc="878216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391CD7"/>
    <w:multiLevelType w:val="hybridMultilevel"/>
    <w:tmpl w:val="7BCA6284"/>
    <w:lvl w:ilvl="0" w:tplc="3BFED9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C20E6F"/>
    <w:multiLevelType w:val="hybridMultilevel"/>
    <w:tmpl w:val="779044E4"/>
    <w:lvl w:ilvl="0" w:tplc="61161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8E22A9"/>
    <w:multiLevelType w:val="hybridMultilevel"/>
    <w:tmpl w:val="69764DD8"/>
    <w:lvl w:ilvl="0" w:tplc="B87C13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BFB7239"/>
    <w:multiLevelType w:val="hybridMultilevel"/>
    <w:tmpl w:val="BE36A084"/>
    <w:lvl w:ilvl="0" w:tplc="DBCE15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3835AE"/>
    <w:multiLevelType w:val="hybridMultilevel"/>
    <w:tmpl w:val="E2C89B3A"/>
    <w:lvl w:ilvl="0" w:tplc="F306E9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7711EA"/>
    <w:multiLevelType w:val="hybridMultilevel"/>
    <w:tmpl w:val="7D6AE43A"/>
    <w:lvl w:ilvl="0" w:tplc="24461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086F4D"/>
    <w:multiLevelType w:val="hybridMultilevel"/>
    <w:tmpl w:val="28687C2C"/>
    <w:lvl w:ilvl="0" w:tplc="E578C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8927E4"/>
    <w:multiLevelType w:val="hybridMultilevel"/>
    <w:tmpl w:val="21FAC668"/>
    <w:lvl w:ilvl="0" w:tplc="F7AE4E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272941"/>
    <w:multiLevelType w:val="hybridMultilevel"/>
    <w:tmpl w:val="9F9C8AD0"/>
    <w:lvl w:ilvl="0" w:tplc="16CA9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A30CFF"/>
    <w:multiLevelType w:val="hybridMultilevel"/>
    <w:tmpl w:val="CC127724"/>
    <w:lvl w:ilvl="0" w:tplc="A10E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7201D"/>
    <w:multiLevelType w:val="hybridMultilevel"/>
    <w:tmpl w:val="12DCC4C2"/>
    <w:lvl w:ilvl="0" w:tplc="DB40C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A200A0"/>
    <w:multiLevelType w:val="hybridMultilevel"/>
    <w:tmpl w:val="DB54D1A8"/>
    <w:lvl w:ilvl="0" w:tplc="54082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5E2DDA"/>
    <w:multiLevelType w:val="hybridMultilevel"/>
    <w:tmpl w:val="1526AFEA"/>
    <w:lvl w:ilvl="0" w:tplc="C8481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622BDE"/>
    <w:multiLevelType w:val="hybridMultilevel"/>
    <w:tmpl w:val="87043926"/>
    <w:lvl w:ilvl="0" w:tplc="6C487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67D4E"/>
    <w:multiLevelType w:val="hybridMultilevel"/>
    <w:tmpl w:val="63F66128"/>
    <w:lvl w:ilvl="0" w:tplc="274E69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077F08"/>
    <w:multiLevelType w:val="hybridMultilevel"/>
    <w:tmpl w:val="D07A78DA"/>
    <w:lvl w:ilvl="0" w:tplc="E584996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50F3EEF"/>
    <w:multiLevelType w:val="hybridMultilevel"/>
    <w:tmpl w:val="215AF484"/>
    <w:lvl w:ilvl="0" w:tplc="6390FF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596461"/>
    <w:multiLevelType w:val="hybridMultilevel"/>
    <w:tmpl w:val="9EFA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96A31"/>
    <w:multiLevelType w:val="hybridMultilevel"/>
    <w:tmpl w:val="46D81E8C"/>
    <w:lvl w:ilvl="0" w:tplc="1D5CD7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12081"/>
    <w:multiLevelType w:val="hybridMultilevel"/>
    <w:tmpl w:val="36A23BB4"/>
    <w:lvl w:ilvl="0" w:tplc="5B868CDC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E642FDC"/>
    <w:multiLevelType w:val="hybridMultilevel"/>
    <w:tmpl w:val="E63E7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189A"/>
    <w:multiLevelType w:val="hybridMultilevel"/>
    <w:tmpl w:val="2B2A72CC"/>
    <w:lvl w:ilvl="0" w:tplc="22E64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30E8"/>
    <w:multiLevelType w:val="hybridMultilevel"/>
    <w:tmpl w:val="B4385146"/>
    <w:lvl w:ilvl="0" w:tplc="31B43E56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A85099"/>
    <w:multiLevelType w:val="hybridMultilevel"/>
    <w:tmpl w:val="825A21E2"/>
    <w:lvl w:ilvl="0" w:tplc="FDC654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C4701C7"/>
    <w:multiLevelType w:val="hybridMultilevel"/>
    <w:tmpl w:val="3078BB60"/>
    <w:lvl w:ilvl="0" w:tplc="8DF6A9B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3"/>
  </w:num>
  <w:num w:numId="5">
    <w:abstractNumId w:val="35"/>
  </w:num>
  <w:num w:numId="6">
    <w:abstractNumId w:val="31"/>
  </w:num>
  <w:num w:numId="7">
    <w:abstractNumId w:val="1"/>
  </w:num>
  <w:num w:numId="8">
    <w:abstractNumId w:val="16"/>
  </w:num>
  <w:num w:numId="9">
    <w:abstractNumId w:val="26"/>
  </w:num>
  <w:num w:numId="10">
    <w:abstractNumId w:val="34"/>
  </w:num>
  <w:num w:numId="11">
    <w:abstractNumId w:val="33"/>
  </w:num>
  <w:num w:numId="12">
    <w:abstractNumId w:val="0"/>
  </w:num>
  <w:num w:numId="13">
    <w:abstractNumId w:val="9"/>
  </w:num>
  <w:num w:numId="14">
    <w:abstractNumId w:val="18"/>
  </w:num>
  <w:num w:numId="15">
    <w:abstractNumId w:val="10"/>
  </w:num>
  <w:num w:numId="16">
    <w:abstractNumId w:val="37"/>
  </w:num>
  <w:num w:numId="17">
    <w:abstractNumId w:val="36"/>
  </w:num>
  <w:num w:numId="18">
    <w:abstractNumId w:val="30"/>
  </w:num>
  <w:num w:numId="19">
    <w:abstractNumId w:val="32"/>
  </w:num>
  <w:num w:numId="20">
    <w:abstractNumId w:val="21"/>
  </w:num>
  <w:num w:numId="21">
    <w:abstractNumId w:val="4"/>
  </w:num>
  <w:num w:numId="22">
    <w:abstractNumId w:val="14"/>
  </w:num>
  <w:num w:numId="23">
    <w:abstractNumId w:val="25"/>
  </w:num>
  <w:num w:numId="24">
    <w:abstractNumId w:val="11"/>
  </w:num>
  <w:num w:numId="25">
    <w:abstractNumId w:val="24"/>
  </w:num>
  <w:num w:numId="26">
    <w:abstractNumId w:val="17"/>
  </w:num>
  <w:num w:numId="27">
    <w:abstractNumId w:val="8"/>
  </w:num>
  <w:num w:numId="28">
    <w:abstractNumId w:val="19"/>
  </w:num>
  <w:num w:numId="29">
    <w:abstractNumId w:val="12"/>
  </w:num>
  <w:num w:numId="30">
    <w:abstractNumId w:val="23"/>
  </w:num>
  <w:num w:numId="31">
    <w:abstractNumId w:val="7"/>
  </w:num>
  <w:num w:numId="32">
    <w:abstractNumId w:val="13"/>
  </w:num>
  <w:num w:numId="33">
    <w:abstractNumId w:val="15"/>
  </w:num>
  <w:num w:numId="34">
    <w:abstractNumId w:val="2"/>
  </w:num>
  <w:num w:numId="35">
    <w:abstractNumId w:val="28"/>
  </w:num>
  <w:num w:numId="36">
    <w:abstractNumId w:val="20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53"/>
    <w:rsid w:val="00012C4E"/>
    <w:rsid w:val="000967F1"/>
    <w:rsid w:val="000E4700"/>
    <w:rsid w:val="001257B7"/>
    <w:rsid w:val="0013075A"/>
    <w:rsid w:val="001326BA"/>
    <w:rsid w:val="001676AF"/>
    <w:rsid w:val="001815DE"/>
    <w:rsid w:val="001A0420"/>
    <w:rsid w:val="001C6031"/>
    <w:rsid w:val="001F1FA6"/>
    <w:rsid w:val="001F4626"/>
    <w:rsid w:val="001F4C77"/>
    <w:rsid w:val="00206C66"/>
    <w:rsid w:val="0027781D"/>
    <w:rsid w:val="00343B40"/>
    <w:rsid w:val="003459E1"/>
    <w:rsid w:val="003C1092"/>
    <w:rsid w:val="003F2EE3"/>
    <w:rsid w:val="00465EC5"/>
    <w:rsid w:val="004F33BB"/>
    <w:rsid w:val="00522365"/>
    <w:rsid w:val="0059407B"/>
    <w:rsid w:val="00605415"/>
    <w:rsid w:val="006076B6"/>
    <w:rsid w:val="00634DD7"/>
    <w:rsid w:val="00670921"/>
    <w:rsid w:val="006D7912"/>
    <w:rsid w:val="0073740A"/>
    <w:rsid w:val="007C7723"/>
    <w:rsid w:val="00843F39"/>
    <w:rsid w:val="00865AA9"/>
    <w:rsid w:val="00867CF7"/>
    <w:rsid w:val="00893B55"/>
    <w:rsid w:val="008B38C2"/>
    <w:rsid w:val="0092708A"/>
    <w:rsid w:val="0092768C"/>
    <w:rsid w:val="00927C61"/>
    <w:rsid w:val="00933BC5"/>
    <w:rsid w:val="009D68C0"/>
    <w:rsid w:val="00A3240A"/>
    <w:rsid w:val="00A562EC"/>
    <w:rsid w:val="00A6651B"/>
    <w:rsid w:val="00A9482D"/>
    <w:rsid w:val="00AA22A7"/>
    <w:rsid w:val="00AA3174"/>
    <w:rsid w:val="00AB1873"/>
    <w:rsid w:val="00AB2102"/>
    <w:rsid w:val="00AF3AE3"/>
    <w:rsid w:val="00B37D46"/>
    <w:rsid w:val="00BA61BA"/>
    <w:rsid w:val="00BE51A7"/>
    <w:rsid w:val="00C06204"/>
    <w:rsid w:val="00C105C1"/>
    <w:rsid w:val="00C11A53"/>
    <w:rsid w:val="00C31609"/>
    <w:rsid w:val="00C33E7A"/>
    <w:rsid w:val="00C36692"/>
    <w:rsid w:val="00C86FED"/>
    <w:rsid w:val="00CA5F3D"/>
    <w:rsid w:val="00CD5C0E"/>
    <w:rsid w:val="00D167C3"/>
    <w:rsid w:val="00D54706"/>
    <w:rsid w:val="00D75948"/>
    <w:rsid w:val="00D87FF4"/>
    <w:rsid w:val="00D95BE6"/>
    <w:rsid w:val="00DC2448"/>
    <w:rsid w:val="00DC4B33"/>
    <w:rsid w:val="00E44A05"/>
    <w:rsid w:val="00EB0DBA"/>
    <w:rsid w:val="00E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CB1D6-43AA-4416-AA94-1C11C86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5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92"/>
  </w:style>
  <w:style w:type="paragraph" w:styleId="Footer">
    <w:name w:val="footer"/>
    <w:basedOn w:val="Normal"/>
    <w:link w:val="FooterChar"/>
    <w:uiPriority w:val="99"/>
    <w:unhideWhenUsed/>
    <w:rsid w:val="00C3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Groh</dc:creator>
  <cp:keywords/>
  <dc:description/>
  <cp:lastModifiedBy>Cliff Groh</cp:lastModifiedBy>
  <cp:revision>2</cp:revision>
  <dcterms:created xsi:type="dcterms:W3CDTF">2015-07-01T22:58:00Z</dcterms:created>
  <dcterms:modified xsi:type="dcterms:W3CDTF">2015-07-01T22:58:00Z</dcterms:modified>
</cp:coreProperties>
</file>